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46" w:rsidRPr="00E9337A" w:rsidRDefault="000C2246" w:rsidP="00E9337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Шығармашылық есеп</w:t>
      </w:r>
    </w:p>
    <w:p w:rsidR="000C2246" w:rsidRPr="00E9337A" w:rsidRDefault="000C2246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2246" w:rsidRPr="00E9337A" w:rsidRDefault="000C2246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2D05" w:rsidRPr="00E9337A" w:rsidRDefault="000C2246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Мен, Нурмуханова Жұлдыз Досымбекқызы 1997 жылы Ш.Ш. Уалиханов атындағы Көкшетау институтын басқа ұлт мектептеріндегі орыс тілі мен әдебиеті мамандығы бойынша</w:t>
      </w:r>
      <w:r w:rsidR="00C37A45"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диплом алдым.2001 жыл Ш.Ш. Уалиханов атындағы Көкшетау мемлекеттік университетіне сырттай түсіп,2003 жылы химия жән</w:t>
      </w:r>
      <w:r w:rsidR="00282D05" w:rsidRPr="00E9337A">
        <w:rPr>
          <w:rFonts w:ascii="Times New Roman" w:hAnsi="Times New Roman" w:cs="Times New Roman"/>
          <w:sz w:val="28"/>
          <w:szCs w:val="28"/>
          <w:lang w:val="kk-KZ"/>
        </w:rPr>
        <w:t>е би</w:t>
      </w:r>
      <w:r w:rsidR="00C37A45" w:rsidRPr="00E9337A">
        <w:rPr>
          <w:rFonts w:ascii="Times New Roman" w:hAnsi="Times New Roman" w:cs="Times New Roman"/>
          <w:sz w:val="28"/>
          <w:szCs w:val="28"/>
          <w:lang w:val="kk-KZ"/>
        </w:rPr>
        <w:t>ология мамандығы бойынша толық курсын бітірдім.</w:t>
      </w:r>
      <w:r w:rsidR="00282D05"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Еңбек өтілім  13 жыл  2 санатты</w:t>
      </w:r>
    </w:p>
    <w:p w:rsidR="00C37A45" w:rsidRPr="00E9337A" w:rsidRDefault="00C37A4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2001 жылы Қызылсая орта мектебіне химия пәнінің мұғалімі ретінде қабылдандым</w:t>
      </w:r>
    </w:p>
    <w:p w:rsidR="007631DF" w:rsidRPr="00E9337A" w:rsidRDefault="007631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2006-2009 оқу жылдары аралығында</w:t>
      </w:r>
      <w:r w:rsidR="00282D05"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аға тәлімгер қызметін атқардым.</w:t>
      </w:r>
    </w:p>
    <w:p w:rsidR="00CF2FDF" w:rsidRPr="00E9337A" w:rsidRDefault="001020F0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2010 оқу жылынан бастап</w:t>
      </w:r>
      <w:r w:rsidR="00E02CF7"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қосымша 5-11 сыныптар аралығында өзін-өзі тану пәнінен дәріс берудемін.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Ұстаздық еңбек ету жолындағы әдістемелік тақырыбым: «Оқушылардың таным белсенділігін арттыру, білімге қызығушылығын тудыру, адамгершілікке тәрбиелеу»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Мақсатым: «Оқушыларға сапалы да саналы білім беру,оқушылардың таным белсенділігін арттыру, өз бетінше жұмыс істеуге дағдыландыру,жоғары саналы тұлға қалыптастыру»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Міндетім: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1.Оқу-тәрбие үрдісінде ізгелендіру,өз бетінше ізденуге бағыттау.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2. Оқу-тәрбие үрдісінде өзіндік сана қалыптастыру, адамгершілікке тәрбиелеу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3.Оқушылардың жұмысын қадағалау, танымдық іс-әрекеттерін дамыту,шығармашылыққа жетелеу.</w:t>
      </w: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4.Оқытудың әдіс-тәсілдерін жаңарту арқылы білім сапасын арттыру.</w:t>
      </w:r>
    </w:p>
    <w:p w:rsidR="00282D05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5.Қабілеттері бойынша іріктеп, жекелей жұмыс жасау, шығармашылыққа жол ашу.</w:t>
      </w:r>
    </w:p>
    <w:p w:rsidR="00282D05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933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Өзімнің ұстаздық тәжірибемде педагогика ғылымының докторы, профессор  Ж. Қараевтың  әртүрлі деңгейде оқыту технологиясын, сыни тұрғысынан ойлаудың технологиясын,</w:t>
      </w:r>
      <w:r w:rsidR="006A35FB" w:rsidRPr="00E933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Л.В. Занковтың дамыта оқыту технологиясын қолданамын. 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Химия пәні бойынша соңғы 5 жылдағы оқушыларым мынадай жетістіктерге ие болды: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2011-2012 оқу жылында «Ақ бота»интеллектуалдық марафонында 9-сынып оқушысы Аукарова Азиза  3 орынға ие болып марапатталды.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2012-2013 оқу жылында аймақтық олимпиадада  8 сынып оқушысы  Жұмабекова Жансая  2 орынға ие болды. 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9 сынып оқушысы   Индиульмесова Арайлым 1 орынға ие болып аудандық олимпиадаға қатысты химия пәнінен.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Аудандық олимпиада бойынша Индиульмесова Арайлым  2 орынға ие болды.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2013-2014 оқу жылында аймақтық олимпиадасында 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9 сынып оқушысы Жұмабекова Жансая 3 орын алды.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2014-2015 оқу жылында 9 сынып оқушысы Рыспамбет Мерей  аймақтық олимпиадада  2  орын алды. 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«Ақ бота» интеллектуалдық марафонында 10-сынып оқушысы Куланова Алуа  2 орынға ие болып марапатталды</w:t>
      </w:r>
    </w:p>
    <w:p w:rsidR="00CF2FDF" w:rsidRPr="00E9337A" w:rsidRDefault="00282D05" w:rsidP="00E67D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33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 қашан да «Білім мен тәрбие егіз» дейміз. Шындығында да , сапалы білім, саналы тәрбие астасқан ұлт тірегі. Осы тәрбие саласы бойынша биылғы оқу  жылдан бері  5-сыныпқа сынып жетекшілік қызметін атқарып келем. Сыныбымда түрлі тәрбие саласында тәрбие сағаттары өтіледі. Атап айтсам «Денсаулық –зор байлық», « Жолда жүру ережесі». Сынып оқушыларымен бірге әртүрлі сыныптан тыс іс-шараларға қатысып отырамыз.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33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«Мұғалім қандай болса, мектеп те сондай   болмақшы», яғни, мұғалім білімді болса, ол мектептің оқушылары да білімді болмақ. Сондықтан өз білімімді ылғи да көтеріп отыруға тырысамын.</w:t>
      </w:r>
    </w:p>
    <w:p w:rsidR="00282D05" w:rsidRPr="00E9337A" w:rsidRDefault="00282D05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 2007 жылда «12 жылдық мектептің бағдарлы оқыту сыныптарында химия биологияны оқытуды ұйымдастырудың дидактикалық негіздері», 2010 жылы «Организация компетентностно-деятельностного подхода в обучении в условиях 12 летней  школы», 2010 жылы «Өзін-өзі тану пәнін ғылыми-теориялық және әдістемелік қамтамасыздандыру» ,2015 жылы «Өзін-өзі тану» пәнін оқытудың ғылыми-әдістемелік негіздері», 2015 жылы «Білім беру мазмұнын жаңарту жағдайында химия пәні мұғалімінің кәсіби құзыреттілігін дамыту»  атты курстар тыңдадым.</w:t>
      </w:r>
    </w:p>
    <w:p w:rsidR="00282D05" w:rsidRPr="00E9337A" w:rsidRDefault="00282D05" w:rsidP="00E67D49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2FDF" w:rsidRPr="00E9337A" w:rsidRDefault="000412CD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2015 жылы «Менің инновациялық сабағым» атты  IV Халықаралық оқытушылар сайысында «Ұшқыр ойдың майталманы» номинациясы бойынша III орынға ие болдым.</w:t>
      </w:r>
      <w:r w:rsidR="00724249" w:rsidRPr="00E9337A">
        <w:rPr>
          <w:rFonts w:ascii="Times New Roman" w:hAnsi="Times New Roman" w:cs="Times New Roman"/>
          <w:sz w:val="28"/>
          <w:szCs w:val="28"/>
          <w:lang w:val="kk-KZ"/>
        </w:rPr>
        <w:t>(№ МК-00511)</w:t>
      </w:r>
    </w:p>
    <w:p w:rsidR="000412CD" w:rsidRPr="00E9337A" w:rsidRDefault="000412CD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«Копилка уроков»  интернет сайтында «</w:t>
      </w:r>
      <w:r w:rsidR="00724249" w:rsidRPr="00E9337A">
        <w:rPr>
          <w:rFonts w:ascii="Times New Roman" w:hAnsi="Times New Roman" w:cs="Times New Roman"/>
          <w:sz w:val="28"/>
          <w:szCs w:val="28"/>
          <w:lang w:val="kk-KZ"/>
        </w:rPr>
        <w:t>Химиялық жарыс»</w:t>
      </w:r>
    </w:p>
    <w:p w:rsidR="00724249" w:rsidRPr="00E9337A" w:rsidRDefault="00724249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сыныптан тыс іс-шара жарияланды  (№ 189349) және «Фосфор»  тақырыбы бойынша ашық сабақтың сабақ жоспары жарияланды (№190624)</w:t>
      </w:r>
    </w:p>
    <w:p w:rsidR="00E67D49" w:rsidRPr="00E9337A" w:rsidRDefault="00724249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37A">
        <w:rPr>
          <w:rFonts w:ascii="Times New Roman" w:hAnsi="Times New Roman" w:cs="Times New Roman"/>
          <w:sz w:val="28"/>
          <w:szCs w:val="28"/>
          <w:lang w:val="kk-KZ"/>
        </w:rPr>
        <w:t>«Коллеги» қазақстандық интернет-журналынд</w:t>
      </w:r>
      <w:r w:rsidR="00E67D49" w:rsidRPr="00E9337A">
        <w:rPr>
          <w:rFonts w:ascii="Times New Roman" w:hAnsi="Times New Roman" w:cs="Times New Roman"/>
          <w:sz w:val="28"/>
          <w:szCs w:val="28"/>
          <w:lang w:val="kk-KZ"/>
        </w:rPr>
        <w:t>а «Органи</w:t>
      </w:r>
      <w:r w:rsidR="004B6A9F" w:rsidRPr="00E9337A">
        <w:rPr>
          <w:rFonts w:ascii="Times New Roman" w:hAnsi="Times New Roman" w:cs="Times New Roman"/>
          <w:sz w:val="28"/>
          <w:szCs w:val="28"/>
          <w:lang w:val="kk-KZ"/>
        </w:rPr>
        <w:t>калық заттар» тақырыбын қорытын</w:t>
      </w:r>
      <w:r w:rsidR="00E67D49" w:rsidRPr="00E9337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B6A9F" w:rsidRPr="00E9337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67D49" w:rsidRPr="00E9337A">
        <w:rPr>
          <w:rFonts w:ascii="Times New Roman" w:hAnsi="Times New Roman" w:cs="Times New Roman"/>
          <w:sz w:val="28"/>
          <w:szCs w:val="28"/>
          <w:lang w:val="kk-KZ"/>
        </w:rPr>
        <w:t xml:space="preserve">лауға арналған сұрақтар» жарияланды  </w:t>
      </w:r>
    </w:p>
    <w:p w:rsidR="00E67D49" w:rsidRPr="00E9337A" w:rsidRDefault="00E67D49" w:rsidP="00E67D49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33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Соңғы үщ жылдағы пән бойынша оқушылардың білім сапасы төмендегідей:</w:t>
      </w:r>
    </w:p>
    <w:tbl>
      <w:tblPr>
        <w:tblStyle w:val="a3"/>
        <w:tblW w:w="0" w:type="auto"/>
        <w:tblLook w:val="04A0"/>
      </w:tblPr>
      <w:tblGrid>
        <w:gridCol w:w="2841"/>
        <w:gridCol w:w="4780"/>
      </w:tblGrid>
      <w:tr w:rsidR="00E67D49" w:rsidRPr="00E9337A" w:rsidTr="002C4F63">
        <w:trPr>
          <w:trHeight w:val="95"/>
        </w:trPr>
        <w:tc>
          <w:tcPr>
            <w:tcW w:w="7621" w:type="dxa"/>
            <w:gridSpan w:val="2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2012-2013 оқу жылы</w:t>
            </w:r>
          </w:p>
        </w:tc>
      </w:tr>
      <w:tr w:rsidR="00E67D49" w:rsidRPr="00E9337A" w:rsidTr="002C4F63">
        <w:trPr>
          <w:trHeight w:val="91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38%</w:t>
            </w:r>
          </w:p>
        </w:tc>
      </w:tr>
      <w:tr w:rsidR="00E67D49" w:rsidRPr="00E9337A" w:rsidTr="002C4F63">
        <w:trPr>
          <w:trHeight w:val="91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77%</w:t>
            </w:r>
          </w:p>
        </w:tc>
      </w:tr>
      <w:tr w:rsidR="00E67D49" w:rsidRPr="00E9337A" w:rsidTr="002C4F63">
        <w:trPr>
          <w:trHeight w:val="91"/>
        </w:trPr>
        <w:tc>
          <w:tcPr>
            <w:tcW w:w="7621" w:type="dxa"/>
            <w:gridSpan w:val="2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</w:t>
            </w:r>
            <w:r w:rsidRPr="00E93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2013-2014 оқу жылы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</w:tr>
      <w:tr w:rsidR="00E67D49" w:rsidRPr="00E9337A" w:rsidTr="002C4F63">
        <w:trPr>
          <w:trHeight w:val="36"/>
        </w:trPr>
        <w:tc>
          <w:tcPr>
            <w:tcW w:w="7621" w:type="dxa"/>
            <w:gridSpan w:val="2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 w:rsidRPr="00E93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2014-2015 оқу жылы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тоқсан 60 %</w:t>
            </w:r>
          </w:p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тоқсан 60%</w:t>
            </w:r>
          </w:p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3тоқсан 50%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тоқсан 77%</w:t>
            </w:r>
          </w:p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тоқсан 77%</w:t>
            </w:r>
          </w:p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3тоқсан  77%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жартыжылдық  40%</w:t>
            </w:r>
          </w:p>
        </w:tc>
      </w:tr>
      <w:tr w:rsidR="00E67D49" w:rsidRPr="00E9337A" w:rsidTr="002C4F63">
        <w:trPr>
          <w:trHeight w:val="95"/>
        </w:trPr>
        <w:tc>
          <w:tcPr>
            <w:tcW w:w="2841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80" w:type="dxa"/>
          </w:tcPr>
          <w:p w:rsidR="00E67D49" w:rsidRPr="00E9337A" w:rsidRDefault="00E67D49" w:rsidP="00E67D4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жартыжылдық  28%</w:t>
            </w:r>
          </w:p>
        </w:tc>
      </w:tr>
    </w:tbl>
    <w:p w:rsidR="00E67D49" w:rsidRPr="00E9337A" w:rsidRDefault="00E67D49" w:rsidP="00E67D49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7D49" w:rsidRPr="00E9337A" w:rsidRDefault="00E67D49" w:rsidP="00E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4249" w:rsidRPr="00E9337A" w:rsidRDefault="00724249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24249" w:rsidRPr="00E9337A" w:rsidRDefault="00724249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12CD" w:rsidRPr="00E9337A" w:rsidRDefault="000412CD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2D05" w:rsidRPr="00E9337A" w:rsidRDefault="00282D05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2D05" w:rsidRPr="00E9337A" w:rsidRDefault="00282D05" w:rsidP="00E67D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2FDF" w:rsidRPr="00E9337A" w:rsidRDefault="00CF2FDF" w:rsidP="00E67D4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</w:p>
    <w:sectPr w:rsidR="00CF2FDF" w:rsidRPr="00E9337A" w:rsidSect="00DC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0D"/>
    <w:multiLevelType w:val="multilevel"/>
    <w:tmpl w:val="5B2E5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21B2"/>
    <w:multiLevelType w:val="multilevel"/>
    <w:tmpl w:val="D778D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A6322"/>
    <w:multiLevelType w:val="multilevel"/>
    <w:tmpl w:val="D8D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E7E10"/>
    <w:multiLevelType w:val="multilevel"/>
    <w:tmpl w:val="156C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4E1"/>
    <w:multiLevelType w:val="multilevel"/>
    <w:tmpl w:val="432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D5D6B"/>
    <w:multiLevelType w:val="multilevel"/>
    <w:tmpl w:val="249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C63EC"/>
    <w:multiLevelType w:val="multilevel"/>
    <w:tmpl w:val="6396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B7910"/>
    <w:multiLevelType w:val="multilevel"/>
    <w:tmpl w:val="5738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B734D"/>
    <w:rsid w:val="00010AF6"/>
    <w:rsid w:val="000412CD"/>
    <w:rsid w:val="000C2246"/>
    <w:rsid w:val="000D1892"/>
    <w:rsid w:val="001020F0"/>
    <w:rsid w:val="001E2E89"/>
    <w:rsid w:val="00237F3C"/>
    <w:rsid w:val="00282D05"/>
    <w:rsid w:val="00291665"/>
    <w:rsid w:val="003073BC"/>
    <w:rsid w:val="004678E9"/>
    <w:rsid w:val="004B1C69"/>
    <w:rsid w:val="004B6A9F"/>
    <w:rsid w:val="004E605E"/>
    <w:rsid w:val="005706F2"/>
    <w:rsid w:val="006A35FB"/>
    <w:rsid w:val="006D0D8D"/>
    <w:rsid w:val="00705E3C"/>
    <w:rsid w:val="00724249"/>
    <w:rsid w:val="00744AE2"/>
    <w:rsid w:val="007631DF"/>
    <w:rsid w:val="008E1140"/>
    <w:rsid w:val="00966CEC"/>
    <w:rsid w:val="00995E5E"/>
    <w:rsid w:val="00A52DA0"/>
    <w:rsid w:val="00AB594F"/>
    <w:rsid w:val="00AB734D"/>
    <w:rsid w:val="00AC1B95"/>
    <w:rsid w:val="00B30CA6"/>
    <w:rsid w:val="00B521C5"/>
    <w:rsid w:val="00C21F79"/>
    <w:rsid w:val="00C37A45"/>
    <w:rsid w:val="00CF2FDF"/>
    <w:rsid w:val="00D60B5E"/>
    <w:rsid w:val="00DC2A87"/>
    <w:rsid w:val="00E02CF7"/>
    <w:rsid w:val="00E5796D"/>
    <w:rsid w:val="00E67D49"/>
    <w:rsid w:val="00E9337A"/>
    <w:rsid w:val="00EE4903"/>
    <w:rsid w:val="00F2046B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71F6-FE69-4270-99AD-8527E3C4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Пользователь</cp:lastModifiedBy>
  <cp:revision>2</cp:revision>
  <dcterms:created xsi:type="dcterms:W3CDTF">2019-06-16T19:59:00Z</dcterms:created>
  <dcterms:modified xsi:type="dcterms:W3CDTF">2019-06-16T19:59:00Z</dcterms:modified>
</cp:coreProperties>
</file>